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7C88" w14:textId="77777777" w:rsidR="0030116A" w:rsidRDefault="00210EFE">
      <w:pPr>
        <w:pStyle w:val="Header"/>
        <w:spacing w:before="15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DONK AREA VARIANCE DETERMINATION</w:t>
      </w:r>
    </w:p>
    <w:p w14:paraId="7E6B75EC" w14:textId="6EBAA567" w:rsidR="0030116A" w:rsidRDefault="0099388E">
      <w:pPr>
        <w:pStyle w:val="Header"/>
        <w:spacing w:before="156"/>
        <w:rPr>
          <w:sz w:val="22"/>
          <w:szCs w:val="22"/>
        </w:rPr>
      </w:pPr>
      <w:r>
        <w:rPr>
          <w:sz w:val="22"/>
          <w:szCs w:val="22"/>
        </w:rPr>
        <w:t>Mr.</w:t>
      </w:r>
      <w:r w:rsidR="00210EFE">
        <w:rPr>
          <w:sz w:val="22"/>
          <w:szCs w:val="22"/>
        </w:rPr>
        <w:t xml:space="preserve"> Cook</w:t>
      </w:r>
      <w:r w:rsidR="00210EFE">
        <w:rPr>
          <w:sz w:val="22"/>
          <w:szCs w:val="22"/>
        </w:rPr>
        <w:tab/>
        <w:t xml:space="preserve"> moved, seconded by </w:t>
      </w:r>
      <w:r>
        <w:rPr>
          <w:sz w:val="22"/>
          <w:szCs w:val="22"/>
        </w:rPr>
        <w:t>Mr.</w:t>
      </w:r>
      <w:bookmarkStart w:id="0" w:name="_GoBack"/>
      <w:bookmarkEnd w:id="0"/>
      <w:r w:rsidR="00210EFE">
        <w:rPr>
          <w:sz w:val="22"/>
          <w:szCs w:val="22"/>
        </w:rPr>
        <w:t xml:space="preserve"> Maxon, that the area variance requested by Timothy Donk, 1152 Mile Square Road, Mendon, consisting of 1.5 acres</w:t>
      </w:r>
      <w:r w:rsidR="00210EFE">
        <w:rPr>
          <w:rFonts w:cs="Times New Roman"/>
          <w:sz w:val="22"/>
          <w:szCs w:val="22"/>
        </w:rPr>
        <w:t xml:space="preserve">, bearing Tax Account No. 216.08-1-9, located in an RS-30 zone, </w:t>
      </w:r>
      <w:r w:rsidR="00210EFE">
        <w:rPr>
          <w:sz w:val="22"/>
          <w:szCs w:val="22"/>
        </w:rPr>
        <w:t>to build a concrete pad for a hot tub at said property, with a side setback of approximately 8 feet, whereas code requires a 15-foot side setback and therefore requires an area variance, b</w:t>
      </w:r>
      <w:r w:rsidR="00210EFE">
        <w:rPr>
          <w:sz w:val="22"/>
          <w:szCs w:val="22"/>
        </w:rPr>
        <w:t>e ap</w:t>
      </w:r>
      <w:r w:rsidR="00210EFE">
        <w:rPr>
          <w:sz w:val="22"/>
          <w:szCs w:val="22"/>
        </w:rPr>
        <w:t>proved</w:t>
      </w:r>
      <w:r w:rsidR="00210EFE">
        <w:rPr>
          <w:sz w:val="22"/>
          <w:szCs w:val="22"/>
        </w:rPr>
        <w:t xml:space="preserve"> based on the following findings of fact and conclusions of law:</w:t>
      </w:r>
    </w:p>
    <w:p w14:paraId="7B97DD23" w14:textId="77777777" w:rsidR="0030116A" w:rsidRDefault="00210EFE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 w14:paraId="0C0B720B" w14:textId="77777777" w:rsidR="0030116A" w:rsidRDefault="00210EFE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Timothy Donk, the property owner appeared before the Zoning Board of Appeals at the public hearing on March 12, 2020.</w:t>
      </w:r>
    </w:p>
    <w:p w14:paraId="2E22B9E2" w14:textId="77777777" w:rsidR="0030116A" w:rsidRDefault="00210EFE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Section 260-106 of the Mendon Zoning Code states t</w:t>
      </w:r>
      <w:r>
        <w:rPr>
          <w:sz w:val="22"/>
          <w:szCs w:val="22"/>
        </w:rPr>
        <w:t>he RS-30 has a side setback of 15 feet.  The applicant is requesting a side setback of approximately 8 feet.</w:t>
      </w:r>
    </w:p>
    <w:p w14:paraId="0541DB30" w14:textId="77777777" w:rsidR="0030116A" w:rsidRDefault="00210EFE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applicant intends to place a concrete pad, approximately 9 feet square, next to an existing deck. Onto this pad he intends to place a hot tub. </w:t>
      </w:r>
      <w:r>
        <w:rPr>
          <w:sz w:val="22"/>
          <w:szCs w:val="22"/>
        </w:rPr>
        <w:t xml:space="preserve"> A portion of this pad would encroach into the side setback.</w:t>
      </w:r>
    </w:p>
    <w:p w14:paraId="4A8269DF" w14:textId="77777777" w:rsidR="0030116A" w:rsidRDefault="00210EFE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states it would not fit if built on the other side of the deck, due to the existing terrain.</w:t>
      </w:r>
    </w:p>
    <w:p w14:paraId="08247B03" w14:textId="77777777" w:rsidR="0030116A" w:rsidRDefault="00210EFE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No members of the public commented during the public hearing. </w:t>
      </w:r>
    </w:p>
    <w:p w14:paraId="7A8FE440" w14:textId="77777777" w:rsidR="0030116A" w:rsidRDefault="00210EFE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This application is exemp</w:t>
      </w:r>
      <w:r>
        <w:rPr>
          <w:sz w:val="22"/>
          <w:szCs w:val="22"/>
        </w:rPr>
        <w:t>t from County Planning Board review under General Municipal Law 239-m pursuant to an agreement dated January 24, 1994 between the County and the Town which exempts matters set forth therein from further County review.</w:t>
      </w:r>
    </w:p>
    <w:p w14:paraId="7D3453FF" w14:textId="77777777" w:rsidR="0030116A" w:rsidRDefault="00210EFE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</w:p>
    <w:p w14:paraId="5B875B71" w14:textId="77777777" w:rsidR="0030116A" w:rsidRDefault="00210EFE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benef</w:t>
      </w:r>
      <w:r>
        <w:rPr>
          <w:sz w:val="22"/>
          <w:szCs w:val="22"/>
        </w:rPr>
        <w:t>it can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be achieved by other feasible means, as the terrain prohibits it.</w:t>
      </w:r>
    </w:p>
    <w:p w14:paraId="72CBD6FD" w14:textId="77777777" w:rsidR="0030116A" w:rsidRDefault="00210EFE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</w:t>
      </w:r>
      <w:r>
        <w:rPr>
          <w:b/>
          <w:bCs/>
          <w:sz w:val="22"/>
          <w:szCs w:val="22"/>
        </w:rPr>
        <w:t>is</w:t>
      </w:r>
      <w:r>
        <w:rPr>
          <w:sz w:val="22"/>
          <w:szCs w:val="22"/>
        </w:rPr>
        <w:t xml:space="preserve"> substantial, as it is approximately 53% of the required setback.</w:t>
      </w:r>
    </w:p>
    <w:p w14:paraId="1103990E" w14:textId="77777777" w:rsidR="0030116A" w:rsidRDefault="00210EFE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Upon review of Short Environmental Assessment Form (617.20 Appendix B), the board finds the request </w:t>
      </w:r>
      <w:r>
        <w:rPr>
          <w:sz w:val="22"/>
          <w:szCs w:val="22"/>
        </w:rPr>
        <w:t xml:space="preserve">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any adverse physical or environmental effects, as the proposed construction is minor.</w:t>
      </w:r>
    </w:p>
    <w:p w14:paraId="52136C5A" w14:textId="77777777" w:rsidR="0030116A" w:rsidRDefault="00210EFE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 undesirable change in the neighborhood, as it is of small enough scale.</w:t>
      </w:r>
    </w:p>
    <w:p w14:paraId="4E30905C" w14:textId="77777777" w:rsidR="0030116A" w:rsidRDefault="00210EFE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difficulty </w:t>
      </w:r>
      <w:r>
        <w:rPr>
          <w:b/>
          <w:bCs/>
          <w:sz w:val="22"/>
          <w:szCs w:val="22"/>
        </w:rPr>
        <w:t>was</w:t>
      </w:r>
      <w:r>
        <w:rPr>
          <w:sz w:val="22"/>
          <w:szCs w:val="22"/>
        </w:rPr>
        <w:t xml:space="preserve"> self-created, as the applicants desi</w:t>
      </w:r>
      <w:r>
        <w:rPr>
          <w:sz w:val="22"/>
          <w:szCs w:val="22"/>
        </w:rPr>
        <w:t>re for a hot tub is driving this variance.</w:t>
      </w:r>
    </w:p>
    <w:p w14:paraId="381F0731" w14:textId="77777777" w:rsidR="0030116A" w:rsidRDefault="00210EFE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This is a Type II action under SEQR</w:t>
      </w:r>
    </w:p>
    <w:p w14:paraId="1963C09D" w14:textId="77777777" w:rsidR="0030116A" w:rsidRDefault="0030116A">
      <w:pPr>
        <w:spacing w:before="156"/>
        <w:rPr>
          <w:rFonts w:cs="Times New Roman"/>
        </w:rPr>
      </w:pPr>
    </w:p>
    <w:sectPr w:rsidR="0030116A">
      <w:headerReference w:type="default" r:id="rId7"/>
      <w:footerReference w:type="default" r:id="rId8"/>
      <w:pgSz w:w="12240" w:h="15840"/>
      <w:pgMar w:top="1624" w:right="1134" w:bottom="1624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6B08F" w14:textId="77777777" w:rsidR="00210EFE" w:rsidRDefault="00210EFE">
      <w:r>
        <w:separator/>
      </w:r>
    </w:p>
  </w:endnote>
  <w:endnote w:type="continuationSeparator" w:id="0">
    <w:p w14:paraId="2670CF9E" w14:textId="77777777" w:rsidR="00210EFE" w:rsidRDefault="002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C79C" w14:textId="77777777" w:rsidR="0030116A" w:rsidRDefault="00210EFE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FILENAME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 xml:space="preserve">determination draft </w:t>
    </w:r>
    <w:proofErr w:type="spellStart"/>
    <w:r>
      <w:rPr>
        <w:sz w:val="18"/>
        <w:szCs w:val="18"/>
      </w:rPr>
      <w:t>donk.odt</w:t>
    </w:r>
    <w:proofErr w:type="spellEnd"/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86700" w14:textId="77777777" w:rsidR="00210EFE" w:rsidRDefault="00210EFE">
      <w:r>
        <w:separator/>
      </w:r>
    </w:p>
  </w:footnote>
  <w:footnote w:type="continuationSeparator" w:id="0">
    <w:p w14:paraId="4CF9D075" w14:textId="77777777" w:rsidR="00210EFE" w:rsidRDefault="0021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F9BC" w14:textId="3B27D8B8" w:rsidR="0030116A" w:rsidRDefault="00210EFE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586"/>
    <w:multiLevelType w:val="multilevel"/>
    <w:tmpl w:val="42B23A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6976FC"/>
    <w:multiLevelType w:val="multilevel"/>
    <w:tmpl w:val="0130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2" w15:restartNumberingAfterBreak="0">
    <w:nsid w:val="39385298"/>
    <w:multiLevelType w:val="multilevel"/>
    <w:tmpl w:val="B5F8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6A"/>
    <w:rsid w:val="00210EFE"/>
    <w:rsid w:val="0030116A"/>
    <w:rsid w:val="0099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6081"/>
  <w15:docId w15:val="{0F84AE73-867D-4923-B32D-326C5DF9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PMincho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dc:description/>
  <cp:lastModifiedBy>Michelle Booth</cp:lastModifiedBy>
  <cp:revision>2</cp:revision>
  <dcterms:created xsi:type="dcterms:W3CDTF">2020-03-13T12:47:00Z</dcterms:created>
  <dcterms:modified xsi:type="dcterms:W3CDTF">2020-03-13T12:47:00Z</dcterms:modified>
  <dc:language>en-US</dc:language>
</cp:coreProperties>
</file>